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9DF" w:rsidRPr="00A509DF" w:rsidRDefault="00A509DF" w:rsidP="00A509DF">
      <w:pPr>
        <w:bidi/>
        <w:spacing w:before="100" w:beforeAutospacing="1" w:after="100" w:afterAutospacing="1" w:line="240" w:lineRule="auto"/>
        <w:outlineLvl w:val="0"/>
        <w:rPr>
          <w:rFonts w:asciiTheme="majorBidi" w:eastAsia="Times New Roman" w:hAnsiTheme="majorBidi" w:cstheme="majorBidi"/>
          <w:b/>
          <w:bCs/>
          <w:kern w:val="36"/>
          <w:sz w:val="24"/>
          <w:szCs w:val="24"/>
        </w:rPr>
      </w:pPr>
      <w:r w:rsidRPr="00A509DF">
        <w:rPr>
          <w:rFonts w:asciiTheme="majorBidi" w:eastAsia="Times New Roman" w:hAnsiTheme="majorBidi" w:cstheme="majorBidi"/>
          <w:b/>
          <w:bCs/>
          <w:kern w:val="36"/>
          <w:sz w:val="24"/>
          <w:szCs w:val="24"/>
          <w:rtl/>
        </w:rPr>
        <w:t xml:space="preserve">أولويات البحث العلمي </w:t>
      </w:r>
      <w:r>
        <w:rPr>
          <w:rFonts w:asciiTheme="majorBidi" w:eastAsia="Times New Roman" w:hAnsiTheme="majorBidi" w:cstheme="majorBidi"/>
          <w:b/>
          <w:bCs/>
          <w:kern w:val="36"/>
          <w:sz w:val="24"/>
          <w:szCs w:val="24"/>
          <w:rtl/>
        </w:rPr>
        <w:t xml:space="preserve">في جامعة آل البيت (2025–2026) </w:t>
      </w:r>
    </w:p>
    <w:p w:rsidR="00A509DF" w:rsidRPr="00A509DF" w:rsidRDefault="00A509DF" w:rsidP="00A509DF">
      <w:p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tl/>
        </w:rPr>
        <w:t>أولاً: المقدمة</w:t>
      </w:r>
    </w:p>
    <w:p w:rsidR="00A509DF" w:rsidRPr="00A509DF" w:rsidRDefault="00A509DF" w:rsidP="00A509DF">
      <w:pPr>
        <w:bidi/>
        <w:spacing w:before="100" w:beforeAutospacing="1" w:after="100" w:afterAutospacing="1" w:line="240" w:lineRule="auto"/>
        <w:jc w:val="both"/>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انطلاقًا من دور جامعة آل البيت كمؤسسة أكاديمية وطنية رائدة في إنتاج المعرفة وتوظيفها لخدمة المجتمع، وحرصًا على مواءمة البحث العلمي مع الأولويات الوطنية للبحث العلمي والابتكار في المملكة الأردنية الهاشمية، تهدف هذه الوثيقة إلى توجيه الجهود البحثية نحو المجالات ذات الأثر التنموي والاقتصادي، وتعزيز التكامل بين التخصصات، ودعم الابتكار والتحول الرقمي والتنمية المستدامة</w:t>
      </w:r>
      <w:r w:rsidRPr="00A509DF">
        <w:rPr>
          <w:rFonts w:asciiTheme="majorBidi" w:eastAsia="Times New Roman" w:hAnsiTheme="majorBidi" w:cstheme="majorBidi"/>
          <w:sz w:val="24"/>
          <w:szCs w:val="24"/>
        </w:rPr>
        <w:t>.</w:t>
      </w:r>
    </w:p>
    <w:p w:rsidR="00A509DF" w:rsidRPr="00A509DF" w:rsidRDefault="00A509DF" w:rsidP="00A509DF">
      <w:p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tl/>
        </w:rPr>
        <w:t>ثانيًا: المرجعيات المعتمدة</w:t>
      </w:r>
    </w:p>
    <w:p w:rsidR="00A509DF" w:rsidRPr="00A509DF" w:rsidRDefault="00A509DF" w:rsidP="00A509DF">
      <w:p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تعتمد هذه الوثيقة على</w:t>
      </w:r>
      <w:r w:rsidRPr="00A509DF">
        <w:rPr>
          <w:rFonts w:asciiTheme="majorBidi" w:eastAsia="Times New Roman" w:hAnsiTheme="majorBidi" w:cstheme="majorBidi"/>
          <w:sz w:val="24"/>
          <w:szCs w:val="24"/>
        </w:rPr>
        <w:t>:</w:t>
      </w:r>
    </w:p>
    <w:p w:rsidR="00A509DF" w:rsidRPr="00A509DF" w:rsidRDefault="00A509DF" w:rsidP="00A509DF">
      <w:pPr>
        <w:numPr>
          <w:ilvl w:val="0"/>
          <w:numId w:val="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الأولويات الوطنية للبحث العلمي والابتكار في الأردن</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الاستراتيجيات الوطنية للتحول الرقمي والاقتصاد المعرفي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توجهات وزارة التعليم العالي والبحث العلمي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خطط التنمية الوطنية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احتياجات المجتمع والقطاعات الإنتاجية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الإمكانات البحثية في جامعة آل البيت</w:t>
      </w:r>
      <w:r w:rsidRPr="00A509DF">
        <w:rPr>
          <w:rFonts w:asciiTheme="majorBidi" w:eastAsia="Times New Roman" w:hAnsiTheme="majorBidi" w:cstheme="majorBidi"/>
          <w:sz w:val="24"/>
          <w:szCs w:val="24"/>
        </w:rPr>
        <w:t xml:space="preserve">. </w:t>
      </w:r>
    </w:p>
    <w:p w:rsidR="00A509DF" w:rsidRPr="00A509DF" w:rsidRDefault="00A509DF" w:rsidP="00A509DF">
      <w:p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tl/>
        </w:rPr>
        <w:t>ثالثًا: الأهداف الاستراتيجية</w:t>
      </w:r>
    </w:p>
    <w:p w:rsidR="00A509DF" w:rsidRPr="00A509DF" w:rsidRDefault="00A509DF" w:rsidP="00A509DF">
      <w:p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تهدف الوثيقة إلى</w:t>
      </w:r>
      <w:r w:rsidRPr="00A509DF">
        <w:rPr>
          <w:rFonts w:asciiTheme="majorBidi" w:eastAsia="Times New Roman" w:hAnsiTheme="majorBidi" w:cstheme="majorBidi"/>
          <w:sz w:val="24"/>
          <w:szCs w:val="24"/>
        </w:rPr>
        <w:t>:</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توجيه البحث العلمي نحو الأولويات الوطنية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تعزيز البحث التطبيقي المرتبط بالتنمية الاقتصادية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دعم الابتكار وريادة الأعمال ونقل التكنولوجيا</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تشجيع البحث متعدد التخصصات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تحسين جودة وأثر مخرجات البحث العلمي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تعزيز الشراكات البحثية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دعم التحول الرقمي والاستدامة</w:t>
      </w:r>
      <w:r w:rsidRPr="00A509DF">
        <w:rPr>
          <w:rFonts w:asciiTheme="majorBidi" w:eastAsia="Times New Roman" w:hAnsiTheme="majorBidi" w:cstheme="majorBidi"/>
          <w:sz w:val="24"/>
          <w:szCs w:val="24"/>
        </w:rPr>
        <w:t xml:space="preserve">. </w:t>
      </w:r>
    </w:p>
    <w:p w:rsidR="00A509DF" w:rsidRPr="00A509DF" w:rsidRDefault="00A509DF" w:rsidP="00A509DF">
      <w:p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tl/>
        </w:rPr>
        <w:t>رابعًا: قطاعات وأولويات البحث العلمي</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تكنولوجيا المعلومات والتحول الرقمي</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الذكاء الاصطناعي وتحليل البيانات الضخمة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الأمن السيبراني وحوكمة البيانات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إنترنت الأشياء والأنظمة الذكية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الحوسبة السحابية والحوسبة الطرفية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تقنية البلوك تشين والتطبيقات الرقمية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شبكات الاتصالات المتقدمة</w:t>
      </w:r>
      <w:r w:rsidRPr="00A509DF">
        <w:rPr>
          <w:rFonts w:asciiTheme="majorBidi" w:eastAsia="Times New Roman" w:hAnsiTheme="majorBidi" w:cstheme="majorBidi"/>
          <w:sz w:val="24"/>
          <w:szCs w:val="24"/>
        </w:rPr>
        <w:t xml:space="preserve"> (5G/6G). </w:t>
      </w:r>
    </w:p>
    <w:p w:rsidR="00A509DF" w:rsidRPr="00A509DF" w:rsidRDefault="00A509DF" w:rsidP="00A509DF">
      <w:pPr>
        <w:numPr>
          <w:ilvl w:val="0"/>
          <w:numId w:val="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التطبيقات الذكية متعددة القطاعات</w:t>
      </w:r>
      <w:r w:rsidRPr="00A509DF">
        <w:rPr>
          <w:rFonts w:asciiTheme="majorBidi" w:eastAsia="Times New Roman" w:hAnsiTheme="majorBidi" w:cstheme="majorBidi"/>
          <w:sz w:val="24"/>
          <w:szCs w:val="24"/>
        </w:rPr>
        <w:t xml:space="preserve">. </w:t>
      </w:r>
    </w:p>
    <w:p w:rsidR="00A509DF" w:rsidRPr="00A509DF" w:rsidRDefault="00A509DF" w:rsidP="00A509DF">
      <w:pPr>
        <w:bidi/>
        <w:spacing w:after="0" w:line="240" w:lineRule="auto"/>
        <w:rPr>
          <w:rFonts w:asciiTheme="majorBidi" w:eastAsia="Times New Roman" w:hAnsiTheme="majorBidi" w:cstheme="majorBidi"/>
          <w:sz w:val="24"/>
          <w:szCs w:val="24"/>
        </w:rPr>
      </w:pP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lastRenderedPageBreak/>
        <w:t xml:space="preserve"> </w:t>
      </w:r>
      <w:r w:rsidRPr="00A509DF">
        <w:rPr>
          <w:rFonts w:asciiTheme="majorBidi" w:eastAsia="Times New Roman" w:hAnsiTheme="majorBidi" w:cstheme="majorBidi"/>
          <w:b/>
          <w:bCs/>
          <w:sz w:val="24"/>
          <w:szCs w:val="24"/>
          <w:rtl/>
        </w:rPr>
        <w:t>قطاع العلوم الهندسية والتقنيات المتقدمة</w:t>
      </w:r>
    </w:p>
    <w:p w:rsidR="00A509DF" w:rsidRPr="00A509DF" w:rsidRDefault="00A509DF" w:rsidP="00A509DF">
      <w:pPr>
        <w:numPr>
          <w:ilvl w:val="0"/>
          <w:numId w:val="4"/>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المواد المتقدمة والنانوية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4"/>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تقنيات إزالة التلوث ومعالجة المياه</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4"/>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الاقتصاد الدائري وإعادة التدوير</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4"/>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الذكاء الاصطناعي في الصناعة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4"/>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البنية التحتية المستدامة</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العلوم الطبية والصحية</w:t>
      </w:r>
    </w:p>
    <w:p w:rsidR="00A509DF" w:rsidRPr="00A509DF" w:rsidRDefault="00A509DF" w:rsidP="00A509DF">
      <w:pPr>
        <w:numPr>
          <w:ilvl w:val="0"/>
          <w:numId w:val="5"/>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الصحة الرقمية والتطبيب عن بعد</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5"/>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الذكاء الاصطناعي في التشخيص الطبي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5"/>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التقنيات الحيوية وتطوير الأدوية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5"/>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الدراسات الجينية والبيئية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5"/>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تحسين جودة الرعاية الصحية</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العلوم الأساسية</w:t>
      </w:r>
    </w:p>
    <w:p w:rsidR="00A509DF" w:rsidRPr="00A509DF" w:rsidRDefault="00A509DF" w:rsidP="00A509DF">
      <w:pPr>
        <w:numPr>
          <w:ilvl w:val="0"/>
          <w:numId w:val="6"/>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النماذج الرياضية وتحليل البيانات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6"/>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الكيمياء التطبيقية والمواد المتقدمة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6"/>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التقنيات النانوية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6"/>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مقاومة المضادات الحيوية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6"/>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كفاءة استخدام الموارد الطبيعية</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المياه والطاقة والبيئة</w:t>
      </w:r>
    </w:p>
    <w:p w:rsidR="00A509DF" w:rsidRPr="00A509DF" w:rsidRDefault="00A509DF" w:rsidP="00A509DF">
      <w:pPr>
        <w:numPr>
          <w:ilvl w:val="0"/>
          <w:numId w:val="7"/>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إدارة الموارد المائية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7"/>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معالجة المياه والنفايات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7"/>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التغير المناخي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7"/>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الطاقة المتجددة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7"/>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ترابط الماء والطاقة والغذاء والبيئة</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الزراعة والأمن الغذائي</w:t>
      </w:r>
    </w:p>
    <w:p w:rsidR="00A509DF" w:rsidRPr="00A509DF" w:rsidRDefault="00A509DF" w:rsidP="00A509DF">
      <w:pPr>
        <w:numPr>
          <w:ilvl w:val="0"/>
          <w:numId w:val="8"/>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الزراعة الذكية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8"/>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التكيف مع التغير المناخي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8"/>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سلاسل الإمداد الغذائي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8"/>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تطوير السلالات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8"/>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الاستخدام المستدام للموارد</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الأعمال والمالية والاقتصاد الرقمي</w:t>
      </w:r>
    </w:p>
    <w:p w:rsidR="00A509DF" w:rsidRPr="00A509DF" w:rsidRDefault="00A509DF" w:rsidP="00A509DF">
      <w:pPr>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الاقتصاد الرقمي ونماذج الأعمال القائمة على البيانات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التكنولوجيا المالية</w:t>
      </w:r>
      <w:r w:rsidRPr="00A509DF">
        <w:rPr>
          <w:rFonts w:asciiTheme="majorBidi" w:eastAsia="Times New Roman" w:hAnsiTheme="majorBidi" w:cstheme="majorBidi"/>
          <w:sz w:val="24"/>
          <w:szCs w:val="24"/>
        </w:rPr>
        <w:t xml:space="preserve"> (</w:t>
      </w:r>
      <w:proofErr w:type="spellStart"/>
      <w:r w:rsidRPr="00A509DF">
        <w:rPr>
          <w:rFonts w:asciiTheme="majorBidi" w:eastAsia="Times New Roman" w:hAnsiTheme="majorBidi" w:cstheme="majorBidi"/>
          <w:sz w:val="24"/>
          <w:szCs w:val="24"/>
        </w:rPr>
        <w:t>FinTech</w:t>
      </w:r>
      <w:proofErr w:type="spellEnd"/>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المحاسبة والمالية الرقمية والتدقيق الذكي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التسويق الرقمي والتجارة الإلكترونية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lastRenderedPageBreak/>
        <w:t>الاستدامة المالية والاقتصاد الأخضر</w:t>
      </w:r>
      <w:r w:rsidRPr="00A509DF">
        <w:rPr>
          <w:rFonts w:asciiTheme="majorBidi" w:eastAsia="Times New Roman" w:hAnsiTheme="majorBidi" w:cstheme="majorBidi"/>
          <w:sz w:val="24"/>
          <w:szCs w:val="24"/>
        </w:rPr>
        <w:t xml:space="preserve"> (ESG). </w:t>
      </w:r>
    </w:p>
    <w:p w:rsidR="00A509DF" w:rsidRPr="00A509DF" w:rsidRDefault="00A509DF" w:rsidP="00A509DF">
      <w:pPr>
        <w:numPr>
          <w:ilvl w:val="0"/>
          <w:numId w:val="9"/>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ريادة الأعمال والابتكار</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العلوم الإنسانية والاجتماعية</w:t>
      </w:r>
    </w:p>
    <w:p w:rsidR="00A509DF" w:rsidRPr="00A509DF" w:rsidRDefault="00A509DF" w:rsidP="00A509DF">
      <w:pPr>
        <w:numPr>
          <w:ilvl w:val="0"/>
          <w:numId w:val="10"/>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تطوير التعليم وربطه بسوق العمل</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0"/>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الحاكمية والشفافية المؤسسية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0"/>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التشريعات المرتبطة بالجرائم الإلكترونية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0"/>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دعم الاقتصاد الرقمي مجتمعيًا</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0"/>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تمكين الشباب والتنمية المجتمعية</w:t>
      </w:r>
      <w:r w:rsidRPr="00A509DF">
        <w:rPr>
          <w:rFonts w:asciiTheme="majorBidi" w:eastAsia="Times New Roman" w:hAnsiTheme="majorBidi" w:cstheme="majorBidi"/>
          <w:sz w:val="24"/>
          <w:szCs w:val="24"/>
        </w:rPr>
        <w:t xml:space="preserve">. </w:t>
      </w:r>
    </w:p>
    <w:p w:rsidR="00A509DF" w:rsidRPr="00A509DF" w:rsidRDefault="00A509DF" w:rsidP="00A509DF">
      <w:pPr>
        <w:pStyle w:val="ListParagraph"/>
        <w:numPr>
          <w:ilvl w:val="0"/>
          <w:numId w:val="14"/>
        </w:num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Pr>
        <w:t xml:space="preserve"> </w:t>
      </w:r>
      <w:r w:rsidRPr="00A509DF">
        <w:rPr>
          <w:rFonts w:asciiTheme="majorBidi" w:eastAsia="Times New Roman" w:hAnsiTheme="majorBidi" w:cstheme="majorBidi"/>
          <w:b/>
          <w:bCs/>
          <w:sz w:val="24"/>
          <w:szCs w:val="24"/>
          <w:rtl/>
        </w:rPr>
        <w:t>قطاع الابتكار وريادة الأعمال والتكنولوجيا</w:t>
      </w:r>
    </w:p>
    <w:p w:rsidR="00A509DF" w:rsidRPr="00A509DF" w:rsidRDefault="00A509DF" w:rsidP="00A509DF">
      <w:pPr>
        <w:numPr>
          <w:ilvl w:val="0"/>
          <w:numId w:val="1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دعم الشركات الناشئة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الابتكار في التكنولوجيا النظيفة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نقل التكنولوجيا وبراءات الاختراع</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تطوير الحلول الرقمية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1"/>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الصناعات الإبداعية</w:t>
      </w:r>
      <w:r w:rsidRPr="00A509DF">
        <w:rPr>
          <w:rFonts w:asciiTheme="majorBidi" w:eastAsia="Times New Roman" w:hAnsiTheme="majorBidi" w:cstheme="majorBidi"/>
          <w:sz w:val="24"/>
          <w:szCs w:val="24"/>
        </w:rPr>
        <w:t xml:space="preserve">. </w:t>
      </w:r>
    </w:p>
    <w:p w:rsidR="00A509DF" w:rsidRPr="00A509DF" w:rsidRDefault="00A509DF" w:rsidP="00A509DF">
      <w:pPr>
        <w:bidi/>
        <w:spacing w:before="100" w:beforeAutospacing="1" w:after="100" w:afterAutospacing="1" w:line="240" w:lineRule="auto"/>
        <w:outlineLvl w:val="1"/>
        <w:rPr>
          <w:rFonts w:asciiTheme="majorBidi" w:eastAsia="Times New Roman" w:hAnsiTheme="majorBidi" w:cstheme="majorBidi"/>
          <w:b/>
          <w:bCs/>
          <w:sz w:val="24"/>
          <w:szCs w:val="24"/>
        </w:rPr>
      </w:pPr>
      <w:r w:rsidRPr="00A509DF">
        <w:rPr>
          <w:rFonts w:asciiTheme="majorBidi" w:eastAsia="Times New Roman" w:hAnsiTheme="majorBidi" w:cstheme="majorBidi"/>
          <w:b/>
          <w:bCs/>
          <w:sz w:val="24"/>
          <w:szCs w:val="24"/>
          <w:rtl/>
        </w:rPr>
        <w:t>خامسًا: آليات التنفيذ</w:t>
      </w:r>
    </w:p>
    <w:p w:rsidR="00A509DF" w:rsidRPr="00A509DF" w:rsidRDefault="00A509DF" w:rsidP="00A509DF">
      <w:pPr>
        <w:numPr>
          <w:ilvl w:val="0"/>
          <w:numId w:val="1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إدماج الأولويات ضمن الخطط البحثية المؤسسية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ربط التمويل البحثي بدرجة التوافق مع الأولويات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اعتماد الوثيقة كمرجع لتقييم المشاريع</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دعم المشاريع متعددة التخصصات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تعزيز الشراكات الوطنية والدولية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2"/>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دعم الابتكار ونقل التكنولوجيا</w:t>
      </w:r>
      <w:r w:rsidRPr="00A509DF">
        <w:rPr>
          <w:rFonts w:asciiTheme="majorBidi" w:eastAsia="Times New Roman" w:hAnsiTheme="majorBidi" w:cstheme="majorBidi"/>
          <w:sz w:val="24"/>
          <w:szCs w:val="24"/>
        </w:rPr>
        <w:t xml:space="preserve">. </w:t>
      </w:r>
    </w:p>
    <w:p w:rsidR="00A509DF" w:rsidRPr="00A509DF" w:rsidRDefault="00A509DF" w:rsidP="00A509DF">
      <w:pPr>
        <w:bidi/>
        <w:spacing w:before="100" w:beforeAutospacing="1" w:after="100" w:afterAutospacing="1" w:line="240" w:lineRule="auto"/>
        <w:outlineLvl w:val="1"/>
        <w:rPr>
          <w:rFonts w:asciiTheme="majorBidi" w:eastAsia="Times New Roman" w:hAnsiTheme="majorBidi" w:cstheme="majorBidi"/>
          <w:b/>
          <w:bCs/>
          <w:sz w:val="24"/>
          <w:szCs w:val="24"/>
        </w:rPr>
      </w:pPr>
      <w:bookmarkStart w:id="0" w:name="_GoBack"/>
      <w:bookmarkEnd w:id="0"/>
      <w:r w:rsidRPr="00A509DF">
        <w:rPr>
          <w:rFonts w:asciiTheme="majorBidi" w:eastAsia="Times New Roman" w:hAnsiTheme="majorBidi" w:cstheme="majorBidi"/>
          <w:b/>
          <w:bCs/>
          <w:sz w:val="24"/>
          <w:szCs w:val="24"/>
          <w:rtl/>
        </w:rPr>
        <w:t>سادسًا: مؤشرات الأداء والمتابعة</w:t>
      </w:r>
    </w:p>
    <w:p w:rsidR="00A509DF" w:rsidRPr="00A509DF" w:rsidRDefault="00A509DF" w:rsidP="00A509DF">
      <w:pPr>
        <w:numPr>
          <w:ilvl w:val="0"/>
          <w:numId w:val="1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عدد المشاريع المرتبطة بالأولويات</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حجم التمويل البحثي</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عدد الشراكات البحثية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عدد براءات الاختراع والمخرجات التطبيقية</w:t>
      </w:r>
      <w:r w:rsidRPr="00A509DF">
        <w:rPr>
          <w:rFonts w:asciiTheme="majorBidi" w:eastAsia="Times New Roman" w:hAnsiTheme="majorBidi" w:cstheme="majorBidi"/>
          <w:sz w:val="24"/>
          <w:szCs w:val="24"/>
        </w:rPr>
        <w:t xml:space="preserve">. </w:t>
      </w:r>
    </w:p>
    <w:p w:rsidR="00A509DF" w:rsidRPr="00A509DF" w:rsidRDefault="00A509DF" w:rsidP="00A509DF">
      <w:pPr>
        <w:numPr>
          <w:ilvl w:val="0"/>
          <w:numId w:val="13"/>
        </w:numPr>
        <w:bidi/>
        <w:spacing w:before="100" w:beforeAutospacing="1" w:after="100" w:afterAutospacing="1" w:line="240" w:lineRule="auto"/>
        <w:rPr>
          <w:rFonts w:asciiTheme="majorBidi" w:eastAsia="Times New Roman" w:hAnsiTheme="majorBidi" w:cstheme="majorBidi"/>
          <w:sz w:val="24"/>
          <w:szCs w:val="24"/>
        </w:rPr>
      </w:pPr>
      <w:r w:rsidRPr="00A509DF">
        <w:rPr>
          <w:rFonts w:asciiTheme="majorBidi" w:eastAsia="Times New Roman" w:hAnsiTheme="majorBidi" w:cstheme="majorBidi"/>
          <w:sz w:val="24"/>
          <w:szCs w:val="24"/>
          <w:rtl/>
        </w:rPr>
        <w:t>الأثر الاقتصادي والمجتمعي</w:t>
      </w:r>
      <w:r w:rsidRPr="00A509DF">
        <w:rPr>
          <w:rFonts w:asciiTheme="majorBidi" w:eastAsia="Times New Roman" w:hAnsiTheme="majorBidi" w:cstheme="majorBidi"/>
          <w:sz w:val="24"/>
          <w:szCs w:val="24"/>
        </w:rPr>
        <w:t>.</w:t>
      </w:r>
    </w:p>
    <w:p w:rsidR="00C57F04" w:rsidRPr="00A509DF" w:rsidRDefault="00C57F04" w:rsidP="00A509DF">
      <w:pPr>
        <w:bidi/>
        <w:rPr>
          <w:rFonts w:asciiTheme="majorBidi" w:hAnsiTheme="majorBidi" w:cstheme="majorBidi"/>
          <w:sz w:val="24"/>
          <w:szCs w:val="24"/>
        </w:rPr>
      </w:pPr>
    </w:p>
    <w:sectPr w:rsidR="00C57F04" w:rsidRPr="00A509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736"/>
    <w:multiLevelType w:val="multilevel"/>
    <w:tmpl w:val="5CB8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3288A"/>
    <w:multiLevelType w:val="multilevel"/>
    <w:tmpl w:val="CA384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66601"/>
    <w:multiLevelType w:val="multilevel"/>
    <w:tmpl w:val="239A5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74EE5"/>
    <w:multiLevelType w:val="multilevel"/>
    <w:tmpl w:val="FF96A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F3EA0"/>
    <w:multiLevelType w:val="hybridMultilevel"/>
    <w:tmpl w:val="E18C3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DE5E00"/>
    <w:multiLevelType w:val="multilevel"/>
    <w:tmpl w:val="D436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11E8B"/>
    <w:multiLevelType w:val="multilevel"/>
    <w:tmpl w:val="D9FE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2B4B04"/>
    <w:multiLevelType w:val="multilevel"/>
    <w:tmpl w:val="4F6C6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CA522DB"/>
    <w:multiLevelType w:val="multilevel"/>
    <w:tmpl w:val="BCA4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375F55"/>
    <w:multiLevelType w:val="multilevel"/>
    <w:tmpl w:val="F9D4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5F38C6"/>
    <w:multiLevelType w:val="multilevel"/>
    <w:tmpl w:val="6C1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B56B1A"/>
    <w:multiLevelType w:val="multilevel"/>
    <w:tmpl w:val="16481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0867A8"/>
    <w:multiLevelType w:val="multilevel"/>
    <w:tmpl w:val="BE64B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7C3758"/>
    <w:multiLevelType w:val="multilevel"/>
    <w:tmpl w:val="C5E2E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3"/>
  </w:num>
  <w:num w:numId="3">
    <w:abstractNumId w:val="1"/>
  </w:num>
  <w:num w:numId="4">
    <w:abstractNumId w:val="2"/>
  </w:num>
  <w:num w:numId="5">
    <w:abstractNumId w:val="11"/>
  </w:num>
  <w:num w:numId="6">
    <w:abstractNumId w:val="5"/>
  </w:num>
  <w:num w:numId="7">
    <w:abstractNumId w:val="3"/>
  </w:num>
  <w:num w:numId="8">
    <w:abstractNumId w:val="10"/>
  </w:num>
  <w:num w:numId="9">
    <w:abstractNumId w:val="9"/>
  </w:num>
  <w:num w:numId="10">
    <w:abstractNumId w:val="6"/>
  </w:num>
  <w:num w:numId="11">
    <w:abstractNumId w:val="0"/>
  </w:num>
  <w:num w:numId="12">
    <w:abstractNumId w:val="12"/>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9DF"/>
    <w:rsid w:val="00A509DF"/>
    <w:rsid w:val="00C57F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989E"/>
  <w15:chartTrackingRefBased/>
  <w15:docId w15:val="{E45705DA-2C9E-4A06-96CB-C22F851E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09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09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9D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09D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509D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0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7224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E789400AC7D40A756EB19216C9B70" ma:contentTypeVersion="2" ma:contentTypeDescription="Create a new document." ma:contentTypeScope="" ma:versionID="3fb4d9e0dc2c0eb9bdc5511bfb58536f">
  <xsd:schema xmlns:xsd="http://www.w3.org/2001/XMLSchema" xmlns:xs="http://www.w3.org/2001/XMLSchema" xmlns:p="http://schemas.microsoft.com/office/2006/metadata/properties" xmlns:ns1="http://schemas.microsoft.com/sharepoint/v3" xmlns:ns2="0afbc2ae-5114-44a2-b91a-f1b51fa42eff" targetNamespace="http://schemas.microsoft.com/office/2006/metadata/properties" ma:root="true" ma:fieldsID="dba33b7e513c76553a781113afcaa3f7" ns1:_="" ns2:_="">
    <xsd:import namespace="http://schemas.microsoft.com/sharepoint/v3"/>
    <xsd:import namespace="0afbc2ae-5114-44a2-b91a-f1b51fa42ef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fbc2ae-5114-44a2-b91a-f1b51fa42ef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26FA5A-3261-4431-8321-F9899FA1A255}"/>
</file>

<file path=customXml/itemProps2.xml><?xml version="1.0" encoding="utf-8"?>
<ds:datastoreItem xmlns:ds="http://schemas.openxmlformats.org/officeDocument/2006/customXml" ds:itemID="{E9604026-E60D-4F01-A9FD-E9E08845914F}"/>
</file>

<file path=customXml/itemProps3.xml><?xml version="1.0" encoding="utf-8"?>
<ds:datastoreItem xmlns:ds="http://schemas.openxmlformats.org/officeDocument/2006/customXml" ds:itemID="{A2B32F86-AB59-48E0-A9E6-964A8344FAEC}"/>
</file>

<file path=docProps/app.xml><?xml version="1.0" encoding="utf-8"?>
<Properties xmlns="http://schemas.openxmlformats.org/officeDocument/2006/extended-properties" xmlns:vt="http://schemas.openxmlformats.org/officeDocument/2006/docPropsVTypes">
  <Template>Normal.dotm</Template>
  <TotalTime>3</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2026-04-08T07:06:00Z</dcterms:created>
  <dcterms:modified xsi:type="dcterms:W3CDTF">2026-04-08T07:09:00Z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0x010100998E789400AC7D40A756EB19216C9B70</vt:lpwstr>
  </property>
</Properties>
</file>