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319"/>
        <w:gridCol w:w="1321"/>
        <w:gridCol w:w="711"/>
        <w:gridCol w:w="741"/>
        <w:gridCol w:w="1320"/>
        <w:gridCol w:w="1317"/>
        <w:gridCol w:w="1308"/>
      </w:tblGrid>
      <w:tr w:rsidR="002C2F55" w:rsidRPr="002C2F55" w:rsidTr="002C2F55">
        <w:trPr>
          <w:jc w:val="center"/>
        </w:trPr>
        <w:tc>
          <w:tcPr>
            <w:tcW w:w="1313" w:type="dxa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نوع التعلم</w:t>
            </w:r>
          </w:p>
        </w:tc>
        <w:tc>
          <w:tcPr>
            <w:tcW w:w="1319" w:type="dxa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</w:tc>
        <w:tc>
          <w:tcPr>
            <w:tcW w:w="1321" w:type="dxa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452" w:type="dxa"/>
            <w:gridSpan w:val="2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الساعات الاسبوعية</w:t>
            </w:r>
          </w:p>
        </w:tc>
        <w:tc>
          <w:tcPr>
            <w:tcW w:w="1320" w:type="dxa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أسم المساق</w:t>
            </w:r>
          </w:p>
        </w:tc>
        <w:tc>
          <w:tcPr>
            <w:tcW w:w="1317" w:type="dxa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رقم المساق</w:t>
            </w:r>
          </w:p>
        </w:tc>
        <w:tc>
          <w:tcPr>
            <w:tcW w:w="1308" w:type="dxa"/>
          </w:tcPr>
          <w:p w:rsidR="002C2F55" w:rsidRPr="002C2F55" w:rsidRDefault="002C2F55" w:rsidP="00575D3B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2C2F55" w:rsidRPr="002C2F55" w:rsidTr="002C2F55">
        <w:trPr>
          <w:trHeight w:val="683"/>
          <w:jc w:val="center"/>
        </w:trPr>
        <w:tc>
          <w:tcPr>
            <w:tcW w:w="1313" w:type="dxa"/>
            <w:vMerge w:val="restart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وجاهي</w:t>
            </w:r>
          </w:p>
        </w:tc>
        <w:tc>
          <w:tcPr>
            <w:tcW w:w="1319" w:type="dxa"/>
            <w:vMerge w:val="restart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</w:rPr>
            </w:pPr>
            <w:r w:rsidRPr="002C2F55">
              <w:rPr>
                <w:rFonts w:hint="cs"/>
                <w:b/>
                <w:bCs/>
                <w:sz w:val="24"/>
                <w:szCs w:val="24"/>
                <w:rtl/>
              </w:rPr>
              <w:t>0401203</w:t>
            </w:r>
          </w:p>
        </w:tc>
        <w:tc>
          <w:tcPr>
            <w:tcW w:w="1321" w:type="dxa"/>
            <w:vMerge w:val="restart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عملي</w:t>
            </w:r>
          </w:p>
        </w:tc>
        <w:tc>
          <w:tcPr>
            <w:tcW w:w="741" w:type="dxa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1320" w:type="dxa"/>
            <w:vMerge w:val="restart"/>
          </w:tcPr>
          <w:p w:rsidR="002C2F55" w:rsidRPr="002C2F55" w:rsidRDefault="002C2F55" w:rsidP="002C2F5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2C2F55">
              <w:rPr>
                <w:b/>
                <w:bCs/>
                <w:sz w:val="24"/>
                <w:szCs w:val="24"/>
                <w:rtl/>
              </w:rPr>
              <w:t>طرق عددية للمهندسين</w:t>
            </w:r>
          </w:p>
        </w:tc>
        <w:tc>
          <w:tcPr>
            <w:tcW w:w="1317" w:type="dxa"/>
            <w:vMerge w:val="restart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4"/>
                <w:szCs w:val="24"/>
              </w:rPr>
            </w:pPr>
            <w:r w:rsidRPr="002C2F55">
              <w:rPr>
                <w:rFonts w:hint="cs"/>
                <w:b/>
                <w:bCs/>
                <w:sz w:val="24"/>
                <w:szCs w:val="24"/>
                <w:rtl/>
              </w:rPr>
              <w:t>0704301</w:t>
            </w:r>
          </w:p>
        </w:tc>
        <w:tc>
          <w:tcPr>
            <w:tcW w:w="1308" w:type="dxa"/>
            <w:vMerge w:val="restart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2F55" w:rsidRPr="002C2F55" w:rsidTr="002C2F55">
        <w:trPr>
          <w:trHeight w:val="1185"/>
          <w:jc w:val="center"/>
        </w:trPr>
        <w:tc>
          <w:tcPr>
            <w:tcW w:w="1313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41" w:type="dxa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20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2F55" w:rsidRPr="002C2F55" w:rsidTr="002C2F55">
        <w:trPr>
          <w:trHeight w:val="1412"/>
          <w:jc w:val="center"/>
        </w:trPr>
        <w:tc>
          <w:tcPr>
            <w:tcW w:w="6725" w:type="dxa"/>
            <w:gridSpan w:val="6"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  <w:r w:rsidRPr="002C2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الأخطاء والتقريب، جذور المعادلات ، حل المعادلات الخطية وغير الخطية باستخدام طرق مختلفة، المصفوفات وطرق حل أنظمة المعادلات الخطية واللاخطية،  ملائمة المنحنيات،  التناسب الخطي وغير الخطي ، التكامل والتفاضل العددي، حل المعادلات التفاضلية العادية والجزئية، تطبيقات كمبيوتر باستخدام </w:t>
            </w:r>
            <w:r w:rsidRPr="002C2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Excel, </w:t>
            </w:r>
            <w:r w:rsidRPr="002C2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 lab</w:t>
            </w:r>
            <w:bookmarkStart w:id="0" w:name="_GoBack"/>
            <w:bookmarkEnd w:id="0"/>
            <w:r w:rsidRPr="002C2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وتطبيقات عملية.</w:t>
            </w:r>
          </w:p>
        </w:tc>
        <w:tc>
          <w:tcPr>
            <w:tcW w:w="1317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:rsidR="002C2F55" w:rsidRPr="002C2F55" w:rsidRDefault="002C2F55" w:rsidP="002C2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E51D7" w:rsidRDefault="003E51D7"/>
    <w:sectPr w:rsidR="003E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55"/>
    <w:rsid w:val="002C2F55"/>
    <w:rsid w:val="003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1AA2"/>
  <w15:chartTrackingRefBased/>
  <w15:docId w15:val="{C0C72539-A47B-49FB-9E8E-93BB68F8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D18D5F08C5E4D8B166B933ADB5872" ma:contentTypeVersion="0" ma:contentTypeDescription="Create a new document." ma:contentTypeScope="" ma:versionID="ec178d7cf62371ef4eb6fc4629798f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D1420-B2D3-4656-A460-5EEDFC0C22B9}"/>
</file>

<file path=customXml/itemProps2.xml><?xml version="1.0" encoding="utf-8"?>
<ds:datastoreItem xmlns:ds="http://schemas.openxmlformats.org/officeDocument/2006/customXml" ds:itemID="{C48851E6-F1F1-4CCB-8B80-F4050BA7670F}"/>
</file>

<file path=customXml/itemProps3.xml><?xml version="1.0" encoding="utf-8"?>
<ds:datastoreItem xmlns:ds="http://schemas.openxmlformats.org/officeDocument/2006/customXml" ds:itemID="{824D08F0-464E-4C7E-9F93-080F85BA6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2023-06-20T11:41:00Z</dcterms:created>
  <dcterms:modified xsi:type="dcterms:W3CDTF">2023-06-20T11:45:00Z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0x010100B00D18D5F08C5E4D8B166B933ADB5872</vt:lpwstr>
  </property>
</Properties>
</file>